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24769C">
        <w:rPr>
          <w:rFonts w:ascii="Times New Roman" w:hAnsi="Times New Roman" w:cs="Times New Roman"/>
          <w:bCs/>
          <w:sz w:val="25"/>
          <w:szCs w:val="25"/>
        </w:rPr>
        <w:t>946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13 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24769C" w:rsidRPr="0024769C" w:rsidP="00247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4769C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24769C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24769C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Pr="0024769C">
        <w:rPr>
          <w:rFonts w:ascii="Times New Roman" w:hAnsi="Times New Roman" w:cs="Times New Roman"/>
          <w:sz w:val="25"/>
          <w:szCs w:val="25"/>
        </w:rPr>
        <w:t xml:space="preserve">Сардаряна Карена Александровича, </w:t>
      </w:r>
      <w:r w:rsidR="00AD0CD3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4769C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AD0CD3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4769C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AD0CD3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4769C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AD0CD3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4769C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4769C" w:rsidRPr="0024769C" w:rsidP="00247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4769C">
        <w:rPr>
          <w:rFonts w:ascii="Times New Roman" w:hAnsi="Times New Roman" w:cs="Times New Roman"/>
          <w:sz w:val="25"/>
          <w:szCs w:val="25"/>
        </w:rPr>
        <w:t xml:space="preserve">    </w:t>
      </w:r>
      <w:r w:rsidRPr="0024769C">
        <w:rPr>
          <w:rFonts w:ascii="Times New Roman" w:hAnsi="Times New Roman" w:cs="Times New Roman"/>
          <w:sz w:val="25"/>
          <w:szCs w:val="25"/>
        </w:rPr>
        <w:tab/>
      </w:r>
      <w:r w:rsidRPr="0024769C">
        <w:rPr>
          <w:rFonts w:ascii="Times New Roman" w:hAnsi="Times New Roman" w:cs="Times New Roman"/>
          <w:sz w:val="25"/>
          <w:szCs w:val="25"/>
        </w:rPr>
        <w:tab/>
      </w:r>
      <w:r w:rsidRPr="0024769C">
        <w:rPr>
          <w:rFonts w:ascii="Times New Roman" w:hAnsi="Times New Roman" w:cs="Times New Roman"/>
          <w:sz w:val="25"/>
          <w:szCs w:val="25"/>
        </w:rPr>
        <w:tab/>
      </w:r>
      <w:r w:rsidRPr="0024769C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24769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4769C">
        <w:rPr>
          <w:rFonts w:ascii="Times New Roman" w:hAnsi="Times New Roman" w:cs="Times New Roman"/>
          <w:sz w:val="25"/>
          <w:szCs w:val="25"/>
        </w:rPr>
        <w:t>Сардарян К.А., являясь генеральным директором ООО «ИНТЕРТРЕЙД», расположенного по адресу</w:t>
      </w:r>
      <w:r w:rsidR="00AD0CD3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24769C" w:rsidR="0024769C">
        <w:rPr>
          <w:sz w:val="25"/>
          <w:szCs w:val="25"/>
        </w:rPr>
        <w:t>Сардарян К.А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явился, о времени и месте рассмотрения административного матери</w:t>
      </w:r>
      <w:r w:rsidRPr="002A1E66">
        <w:rPr>
          <w:sz w:val="25"/>
          <w:szCs w:val="25"/>
        </w:rPr>
        <w:t>ала уведомлялся 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>Оценив исследованные доказательства в их совокупности, мировой судья приходит к выв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оду, что </w:t>
      </w:r>
      <w:r w:rsidRPr="0024769C" w:rsidR="0024769C">
        <w:rPr>
          <w:rFonts w:ascii="Times New Roman" w:hAnsi="Times New Roman" w:cs="Times New Roman"/>
          <w:sz w:val="25"/>
          <w:szCs w:val="25"/>
        </w:rPr>
        <w:t>Сардарян К.А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налогах и сборах срок либо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769C">
        <w:rPr>
          <w:rFonts w:ascii="Times New Roman" w:hAnsi="Times New Roman" w:cs="Times New Roman"/>
          <w:sz w:val="25"/>
          <w:szCs w:val="25"/>
        </w:rPr>
        <w:t>Сардаряна Карена Александровича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586F34"/>
    <w:rsid w:val="005E62F8"/>
    <w:rsid w:val="006A13C7"/>
    <w:rsid w:val="00724410"/>
    <w:rsid w:val="00725731"/>
    <w:rsid w:val="00772642"/>
    <w:rsid w:val="00902A10"/>
    <w:rsid w:val="00AD0CD3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